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6FC" w:rsidRPr="009436FC" w:rsidRDefault="009436FC" w:rsidP="009436FC">
      <w:pPr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spacing w:after="0" w:line="240" w:lineRule="auto"/>
        <w:jc w:val="center"/>
        <w:rPr>
          <w:rFonts w:ascii="Calibri Light" w:eastAsia="Times New Roman" w:hAnsi="Calibri Light" w:cs="Times New Roman"/>
          <w:b/>
          <w:noProof/>
          <w:sz w:val="24"/>
          <w:szCs w:val="20"/>
          <w:lang w:val="en-US"/>
        </w:rPr>
      </w:pPr>
      <w:r w:rsidRPr="009436FC">
        <w:rPr>
          <w:rFonts w:ascii="Calibri Light" w:eastAsia="Times New Roman" w:hAnsi="Calibri Light" w:cs="Times New Roman"/>
          <w:b/>
          <w:noProof/>
          <w:sz w:val="24"/>
          <w:szCs w:val="20"/>
          <w:lang w:val="en-US"/>
        </w:rPr>
        <w:t>APPENDIX D</w:t>
      </w:r>
    </w:p>
    <w:p w:rsidR="009436FC" w:rsidRPr="009436FC" w:rsidRDefault="009436FC" w:rsidP="009436FC">
      <w:pPr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spacing w:after="0" w:line="240" w:lineRule="auto"/>
        <w:jc w:val="center"/>
        <w:rPr>
          <w:rFonts w:ascii="Calibri Light" w:eastAsia="Times New Roman" w:hAnsi="Calibri Light" w:cs="Times New Roman"/>
          <w:b/>
          <w:noProof/>
          <w:sz w:val="24"/>
          <w:szCs w:val="20"/>
          <w:lang w:val="en-US"/>
        </w:rPr>
      </w:pPr>
    </w:p>
    <w:p w:rsidR="009436FC" w:rsidRPr="009436FC" w:rsidRDefault="009436FC" w:rsidP="009436FC">
      <w:pPr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spacing w:after="0" w:line="240" w:lineRule="auto"/>
        <w:jc w:val="center"/>
        <w:rPr>
          <w:rFonts w:ascii="Calibri Light" w:eastAsia="Times New Roman" w:hAnsi="Calibri Light" w:cs="Times New Roman"/>
          <w:b/>
          <w:caps/>
          <w:noProof/>
          <w:szCs w:val="20"/>
          <w:lang w:val="en-US"/>
        </w:rPr>
      </w:pPr>
      <w:r w:rsidRPr="009436FC">
        <w:rPr>
          <w:rFonts w:ascii="Calibri Light" w:eastAsia="Times New Roman" w:hAnsi="Calibri Light" w:cs="Times New Roman"/>
          <w:b/>
          <w:caps/>
          <w:noProof/>
          <w:szCs w:val="20"/>
          <w:lang w:val="en-US"/>
        </w:rPr>
        <w:t>“Associated Firms” and “Umbrella Firms”</w:t>
      </w:r>
    </w:p>
    <w:p w:rsidR="009436FC" w:rsidRPr="009436FC" w:rsidRDefault="009436FC" w:rsidP="009436FC">
      <w:pPr>
        <w:pBdr>
          <w:bottom w:val="thinThickSmallGap" w:sz="12" w:space="1" w:color="auto"/>
        </w:pBdr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spacing w:after="0" w:line="240" w:lineRule="auto"/>
        <w:jc w:val="both"/>
        <w:rPr>
          <w:rFonts w:ascii="Calibri Light" w:eastAsia="Times New Roman" w:hAnsi="Calibri Light" w:cs="Times New Roman"/>
          <w:noProof/>
          <w:sz w:val="24"/>
          <w:szCs w:val="20"/>
          <w:lang w:val="en-US"/>
        </w:rPr>
      </w:pPr>
    </w:p>
    <w:p w:rsidR="009436FC" w:rsidRPr="009436FC" w:rsidRDefault="009436FC" w:rsidP="009436FC">
      <w:pPr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spacing w:after="0" w:line="240" w:lineRule="auto"/>
        <w:jc w:val="center"/>
        <w:rPr>
          <w:rFonts w:ascii="Calibri Light" w:eastAsia="Times New Roman" w:hAnsi="Calibri Light" w:cs="Times New Roman"/>
          <w:noProof/>
          <w:sz w:val="24"/>
          <w:szCs w:val="20"/>
          <w:lang w:val="en-US"/>
        </w:rPr>
      </w:pPr>
    </w:p>
    <w:p w:rsidR="009436FC" w:rsidRPr="009436FC" w:rsidRDefault="009436FC" w:rsidP="009436FC">
      <w:pPr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spacing w:after="0" w:line="240" w:lineRule="auto"/>
        <w:jc w:val="center"/>
        <w:rPr>
          <w:rFonts w:ascii="Calibri Light" w:eastAsia="Times New Roman" w:hAnsi="Calibri Light" w:cs="Times New Roman"/>
          <w:noProof/>
          <w:sz w:val="24"/>
          <w:szCs w:val="20"/>
          <w:lang w:val="en-US"/>
        </w:rPr>
      </w:pPr>
      <w:r w:rsidRPr="009436FC">
        <w:rPr>
          <w:rFonts w:ascii="Calibri Light" w:eastAsia="Times New Roman" w:hAnsi="Calibri Light" w:cs="Times New Roman"/>
          <w:noProof/>
          <w:sz w:val="24"/>
          <w:szCs w:val="20"/>
          <w:lang w:val="en-US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9436FC" w:rsidRPr="009436FC" w:rsidTr="00F413AC">
        <w:trPr>
          <w:trHeight w:val="242"/>
        </w:trPr>
        <w:tc>
          <w:tcPr>
            <w:tcW w:w="1548" w:type="dxa"/>
            <w:shd w:val="clear" w:color="auto" w:fill="auto"/>
          </w:tcPr>
          <w:p w:rsidR="009436FC" w:rsidRPr="009436FC" w:rsidRDefault="009436FC" w:rsidP="009436FC">
            <w:pPr>
              <w:tabs>
                <w:tab w:val="left" w:pos="450"/>
                <w:tab w:val="left" w:pos="1080"/>
                <w:tab w:val="left" w:pos="1170"/>
                <w:tab w:val="left" w:pos="3690"/>
                <w:tab w:val="left" w:pos="8280"/>
              </w:tabs>
              <w:suppressAutoHyphens/>
              <w:spacing w:after="0" w:line="240" w:lineRule="auto"/>
              <w:jc w:val="both"/>
              <w:rPr>
                <w:rFonts w:ascii="Calibri Light" w:eastAsia="Times New Roman" w:hAnsi="Calibri Light" w:cs="Times New Roman"/>
                <w:noProof/>
                <w:lang w:val="en-US"/>
              </w:rPr>
            </w:pPr>
            <w:r w:rsidRPr="009436FC">
              <w:rPr>
                <w:rFonts w:ascii="Calibri Light" w:eastAsia="Times New Roman" w:hAnsi="Calibri Light" w:cs="Times New Roman"/>
                <w:noProof/>
                <w:lang w:val="en-US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:rsidR="009436FC" w:rsidRPr="009436FC" w:rsidRDefault="009436FC" w:rsidP="009436FC">
            <w:pPr>
              <w:tabs>
                <w:tab w:val="left" w:pos="450"/>
                <w:tab w:val="left" w:pos="1080"/>
                <w:tab w:val="left" w:pos="1170"/>
                <w:tab w:val="left" w:pos="3690"/>
                <w:tab w:val="left" w:pos="8280"/>
              </w:tabs>
              <w:suppressAutoHyphens/>
              <w:spacing w:after="0" w:line="240" w:lineRule="auto"/>
              <w:jc w:val="both"/>
              <w:rPr>
                <w:rFonts w:ascii="Calibri Light" w:eastAsia="Times New Roman" w:hAnsi="Calibri Light" w:cs="Times New Roman"/>
                <w:noProof/>
                <w:lang w:val="en-US"/>
              </w:rPr>
            </w:pPr>
            <w:r w:rsidRPr="009436FC">
              <w:rPr>
                <w:rFonts w:ascii="Calibri Light" w:eastAsia="Times New Roman" w:hAnsi="Calibri Light" w:cs="Times New Roman"/>
                <w:noProof/>
                <w:lang w:val="en-US"/>
              </w:rPr>
              <w:t>Borden Ladner Gervais LLP</w:t>
            </w:r>
          </w:p>
        </w:tc>
      </w:tr>
    </w:tbl>
    <w:p w:rsidR="009436FC" w:rsidRPr="009436FC" w:rsidRDefault="009436FC" w:rsidP="009436F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 Light" w:eastAsia="Times New Roman" w:hAnsi="Calibri Light" w:cs="Times New Roman"/>
          <w:b/>
          <w:spacing w:val="-2"/>
          <w:szCs w:val="20"/>
          <w:lang w:val="en-US"/>
        </w:rPr>
      </w:pPr>
    </w:p>
    <w:p w:rsidR="009436FC" w:rsidRPr="009436FC" w:rsidRDefault="009436FC" w:rsidP="009436F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 Light" w:eastAsia="Times New Roman" w:hAnsi="Calibri Light" w:cs="Times New Roman"/>
          <w:spacing w:val="-2"/>
          <w:szCs w:val="20"/>
          <w:lang w:val="en-US"/>
        </w:rPr>
      </w:pPr>
    </w:p>
    <w:p w:rsidR="009436FC" w:rsidRPr="009436FC" w:rsidRDefault="009436FC" w:rsidP="009436FC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120" w:line="240" w:lineRule="auto"/>
        <w:jc w:val="both"/>
        <w:rPr>
          <w:rFonts w:ascii="Calibri Light" w:eastAsia="Times New Roman" w:hAnsi="Calibri Light" w:cs="Times New Roman"/>
          <w:spacing w:val="-2"/>
          <w:lang w:val="en-US"/>
        </w:rPr>
      </w:pPr>
      <w:r w:rsidRPr="009436FC">
        <w:rPr>
          <w:rFonts w:ascii="Calibri Light" w:eastAsia="Times New Roman" w:hAnsi="Calibri Light" w:cs="Times New Roman"/>
          <w:b/>
          <w:i/>
          <w:spacing w:val="-2"/>
          <w:u w:val="single"/>
          <w:lang w:val="en-US"/>
        </w:rPr>
        <w:softHyphen/>
      </w:r>
      <w:r w:rsidRPr="009436FC">
        <w:rPr>
          <w:rFonts w:ascii="Calibri Light" w:eastAsia="Times New Roman" w:hAnsi="Calibri Light" w:cs="Times New Roman"/>
          <w:spacing w:val="-2"/>
          <w:lang w:val="en-US"/>
        </w:rPr>
        <w:t>The Named Insured under the CLLAS policies is Borden Ladner Gervais LLP with (</w:t>
      </w:r>
      <w:proofErr w:type="spellStart"/>
      <w:r w:rsidRPr="009436FC">
        <w:rPr>
          <w:rFonts w:ascii="Calibri Light" w:eastAsia="Times New Roman" w:hAnsi="Calibri Light" w:cs="Times New Roman"/>
          <w:spacing w:val="-2"/>
          <w:lang w:val="en-US"/>
        </w:rPr>
        <w:t>i</w:t>
      </w:r>
      <w:proofErr w:type="spellEnd"/>
      <w:r w:rsidRPr="009436FC">
        <w:rPr>
          <w:rFonts w:ascii="Calibri Light" w:eastAsia="Times New Roman" w:hAnsi="Calibri Light" w:cs="Times New Roman"/>
          <w:spacing w:val="-2"/>
          <w:lang w:val="en-US"/>
        </w:rPr>
        <w:t xml:space="preserve">) Borden &amp; Elliot International and (ii) </w:t>
      </w:r>
      <w:r w:rsidRPr="009436FC">
        <w:rPr>
          <w:rFonts w:ascii="Calibri Light" w:eastAsia="Times New Roman" w:hAnsi="Calibri Light" w:cs="Times New Roman"/>
          <w:lang w:val="en-US"/>
        </w:rPr>
        <w:t xml:space="preserve">Borden </w:t>
      </w:r>
      <w:proofErr w:type="spellStart"/>
      <w:r w:rsidRPr="009436FC">
        <w:rPr>
          <w:rFonts w:ascii="Calibri Light" w:eastAsia="Times New Roman" w:hAnsi="Calibri Light" w:cs="Times New Roman"/>
          <w:lang w:val="en-US"/>
        </w:rPr>
        <w:t>DuMoulin</w:t>
      </w:r>
      <w:proofErr w:type="spellEnd"/>
      <w:r w:rsidRPr="009436FC">
        <w:rPr>
          <w:rFonts w:ascii="Calibri Light" w:eastAsia="Times New Roman" w:hAnsi="Calibri Light" w:cs="Times New Roman"/>
          <w:lang w:val="en-US"/>
        </w:rPr>
        <w:t xml:space="preserve"> Howard Gervais, a partnership of Borden &amp; Elliot, Russell &amp; </w:t>
      </w:r>
      <w:proofErr w:type="spellStart"/>
      <w:r w:rsidRPr="009436FC">
        <w:rPr>
          <w:rFonts w:ascii="Calibri Light" w:eastAsia="Times New Roman" w:hAnsi="Calibri Light" w:cs="Times New Roman"/>
          <w:lang w:val="en-US"/>
        </w:rPr>
        <w:t>DuMoulin</w:t>
      </w:r>
      <w:proofErr w:type="spellEnd"/>
      <w:r w:rsidRPr="009436FC">
        <w:rPr>
          <w:rFonts w:ascii="Calibri Light" w:eastAsia="Times New Roman" w:hAnsi="Calibri Light" w:cs="Times New Roman"/>
          <w:lang w:val="en-US"/>
        </w:rPr>
        <w:t xml:space="preserve">, Howard Mackie, McMaster Gervais and George </w:t>
      </w:r>
      <w:proofErr w:type="spellStart"/>
      <w:r w:rsidRPr="009436FC">
        <w:rPr>
          <w:rFonts w:ascii="Calibri Light" w:eastAsia="Times New Roman" w:hAnsi="Calibri Light" w:cs="Times New Roman"/>
          <w:lang w:val="en-US"/>
        </w:rPr>
        <w:t>Cihra</w:t>
      </w:r>
      <w:proofErr w:type="spellEnd"/>
      <w:r w:rsidRPr="009436FC">
        <w:rPr>
          <w:rFonts w:ascii="Calibri Light" w:eastAsia="Times New Roman" w:hAnsi="Calibri Light" w:cs="Times New Roman"/>
          <w:lang w:val="en-US"/>
        </w:rPr>
        <w:t xml:space="preserve">, which was operated in </w:t>
      </w:r>
      <w:smartTag w:uri="urn:schemas-microsoft-com:office:smarttags" w:element="place">
        <w:smartTag w:uri="urn:schemas-microsoft-com:office:smarttags" w:element="City">
          <w:r w:rsidRPr="009436FC">
            <w:rPr>
              <w:rFonts w:ascii="Calibri Light" w:eastAsia="Times New Roman" w:hAnsi="Calibri Light" w:cs="Times New Roman"/>
              <w:lang w:val="en-US"/>
            </w:rPr>
            <w:t>London</w:t>
          </w:r>
        </w:smartTag>
        <w:r w:rsidRPr="009436FC">
          <w:rPr>
            <w:rFonts w:ascii="Calibri Light" w:eastAsia="Times New Roman" w:hAnsi="Calibri Light" w:cs="Times New Roman"/>
            <w:lang w:val="en-US"/>
          </w:rPr>
          <w:t xml:space="preserve">, </w:t>
        </w:r>
        <w:smartTag w:uri="urn:schemas-microsoft-com:office:smarttags" w:element="country-region">
          <w:r w:rsidRPr="009436FC">
            <w:rPr>
              <w:rFonts w:ascii="Calibri Light" w:eastAsia="Times New Roman" w:hAnsi="Calibri Light" w:cs="Times New Roman"/>
              <w:lang w:val="en-US"/>
            </w:rPr>
            <w:t>England</w:t>
          </w:r>
        </w:smartTag>
      </w:smartTag>
      <w:r w:rsidRPr="009436FC">
        <w:rPr>
          <w:rFonts w:ascii="Calibri Light" w:eastAsia="Times New Roman" w:hAnsi="Calibri Light" w:cs="Times New Roman"/>
          <w:lang w:val="en-US"/>
        </w:rPr>
        <w:t xml:space="preserve"> being added as additional Named Insureds.</w:t>
      </w:r>
    </w:p>
    <w:p w:rsidR="009436FC" w:rsidRPr="009436FC" w:rsidRDefault="009436FC" w:rsidP="009436FC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120" w:line="240" w:lineRule="auto"/>
        <w:jc w:val="both"/>
        <w:rPr>
          <w:rFonts w:ascii="Calibri Light" w:eastAsia="Times New Roman" w:hAnsi="Calibri Light" w:cs="Times New Roman"/>
          <w:spacing w:val="-2"/>
          <w:szCs w:val="20"/>
          <w:lang w:val="en-US"/>
        </w:rPr>
      </w:pPr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On </w:t>
      </w:r>
      <w:smartTag w:uri="urn:schemas-microsoft-com:office:smarttags" w:element="date">
        <w:smartTagPr>
          <w:attr w:name="Month" w:val="6"/>
          <w:attr w:name="Day" w:val="15"/>
          <w:attr w:name="Year" w:val="1999"/>
        </w:smartTagPr>
        <w:r w:rsidRPr="009436FC">
          <w:rPr>
            <w:rFonts w:ascii="Calibri Light" w:eastAsia="Times New Roman" w:hAnsi="Calibri Light" w:cs="Times New Roman"/>
            <w:spacing w:val="-2"/>
            <w:szCs w:val="20"/>
            <w:lang w:val="en-US"/>
          </w:rPr>
          <w:t>June 15, 1999</w:t>
        </w:r>
      </w:smartTag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, Borden &amp; Elliot merged with Scott &amp;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Aylen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of </w:t>
      </w:r>
      <w:smartTag w:uri="urn:schemas-microsoft-com:office:smarttags" w:element="place">
        <w:smartTag w:uri="urn:schemas-microsoft-com:office:smarttags" w:element="City">
          <w:r w:rsidRPr="009436FC">
            <w:rPr>
              <w:rFonts w:ascii="Calibri Light" w:eastAsia="Times New Roman" w:hAnsi="Calibri Light" w:cs="Times New Roman"/>
              <w:spacing w:val="-2"/>
              <w:szCs w:val="20"/>
              <w:lang w:val="en-US"/>
            </w:rPr>
            <w:t>Ottawa</w:t>
          </w:r>
        </w:smartTag>
      </w:smartTag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.  They were known as Borden Elliot Scott &amp;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Aylen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in </w:t>
      </w:r>
      <w:smartTag w:uri="urn:schemas-microsoft-com:office:smarttags" w:element="City">
        <w:r w:rsidRPr="009436FC">
          <w:rPr>
            <w:rFonts w:ascii="Calibri Light" w:eastAsia="Times New Roman" w:hAnsi="Calibri Light" w:cs="Times New Roman"/>
            <w:spacing w:val="-2"/>
            <w:szCs w:val="20"/>
            <w:lang w:val="en-US"/>
          </w:rPr>
          <w:t>Ottawa</w:t>
        </w:r>
      </w:smartTag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and Borden &amp; Elliot in </w:t>
      </w:r>
      <w:smartTag w:uri="urn:schemas-microsoft-com:office:smarttags" w:element="place">
        <w:smartTag w:uri="urn:schemas-microsoft-com:office:smarttags" w:element="City">
          <w:r w:rsidRPr="009436FC">
            <w:rPr>
              <w:rFonts w:ascii="Calibri Light" w:eastAsia="Times New Roman" w:hAnsi="Calibri Light" w:cs="Times New Roman"/>
              <w:spacing w:val="-2"/>
              <w:szCs w:val="20"/>
              <w:lang w:val="en-US"/>
            </w:rPr>
            <w:t>Toronto</w:t>
          </w:r>
        </w:smartTag>
      </w:smartTag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.</w:t>
      </w:r>
    </w:p>
    <w:p w:rsidR="009436FC" w:rsidRPr="009436FC" w:rsidRDefault="009436FC" w:rsidP="009436FC">
      <w:pPr>
        <w:widowControl w:val="0"/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 w:line="240" w:lineRule="auto"/>
        <w:jc w:val="both"/>
        <w:rPr>
          <w:rFonts w:ascii="Calibri Light" w:eastAsia="Times New Roman" w:hAnsi="Calibri Light" w:cs="Times New Roman"/>
          <w:spacing w:val="-2"/>
          <w:szCs w:val="20"/>
          <w:lang w:val="en-US"/>
        </w:rPr>
      </w:pPr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On </w:t>
      </w:r>
      <w:smartTag w:uri="urn:schemas-microsoft-com:office:smarttags" w:element="date">
        <w:smartTagPr>
          <w:attr w:name="Month" w:val="3"/>
          <w:attr w:name="Day" w:val="1"/>
          <w:attr w:name="Year" w:val="2000"/>
        </w:smartTagPr>
        <w:r w:rsidRPr="009436FC">
          <w:rPr>
            <w:rFonts w:ascii="Calibri Light" w:eastAsia="Times New Roman" w:hAnsi="Calibri Light" w:cs="Times New Roman"/>
            <w:spacing w:val="-2"/>
            <w:szCs w:val="20"/>
            <w:lang w:val="en-US"/>
          </w:rPr>
          <w:t>March 1, 2000</w:t>
        </w:r>
      </w:smartTag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, Borden &amp; Elliot merged with the firms Ladner Downs of Vancouver, Howard Mackie of </w:t>
      </w:r>
      <w:smartTag w:uri="urn:schemas-microsoft-com:office:smarttags" w:element="City">
        <w:r w:rsidRPr="009436FC">
          <w:rPr>
            <w:rFonts w:ascii="Calibri Light" w:eastAsia="Times New Roman" w:hAnsi="Calibri Light" w:cs="Times New Roman"/>
            <w:spacing w:val="-2"/>
            <w:szCs w:val="20"/>
            <w:lang w:val="en-US"/>
          </w:rPr>
          <w:t>Calgary</w:t>
        </w:r>
      </w:smartTag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, </w:t>
      </w:r>
      <w:proofErr w:type="gram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Borden</w:t>
      </w:r>
      <w:proofErr w:type="gram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Elliot Scott &amp;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Aylen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of </w:t>
      </w:r>
      <w:smartTag w:uri="urn:schemas-microsoft-com:office:smarttags" w:element="City">
        <w:r w:rsidRPr="009436FC">
          <w:rPr>
            <w:rFonts w:ascii="Calibri Light" w:eastAsia="Times New Roman" w:hAnsi="Calibri Light" w:cs="Times New Roman"/>
            <w:spacing w:val="-2"/>
            <w:szCs w:val="20"/>
            <w:lang w:val="en-US"/>
          </w:rPr>
          <w:t>Ottawa</w:t>
        </w:r>
      </w:smartTag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and McMaster Gervais of </w:t>
      </w:r>
      <w:smartTag w:uri="urn:schemas-microsoft-com:office:smarttags" w:element="place">
        <w:smartTag w:uri="urn:schemas-microsoft-com:office:smarttags" w:element="City">
          <w:r w:rsidRPr="009436FC">
            <w:rPr>
              <w:rFonts w:ascii="Calibri Light" w:eastAsia="Times New Roman" w:hAnsi="Calibri Light" w:cs="Times New Roman"/>
              <w:spacing w:val="-2"/>
              <w:szCs w:val="20"/>
              <w:lang w:val="en-US"/>
            </w:rPr>
            <w:t>Montreal</w:t>
          </w:r>
        </w:smartTag>
      </w:smartTag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and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practised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under the name of Borden Ladner Gervais LLP.</w:t>
      </w:r>
    </w:p>
    <w:p w:rsidR="009436FC" w:rsidRPr="009436FC" w:rsidRDefault="009436FC" w:rsidP="009436FC">
      <w:pPr>
        <w:widowControl w:val="0"/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 w:line="240" w:lineRule="auto"/>
        <w:jc w:val="both"/>
        <w:rPr>
          <w:rFonts w:ascii="Calibri Light" w:eastAsia="Times New Roman" w:hAnsi="Calibri Light" w:cs="Times New Roman"/>
          <w:spacing w:val="-2"/>
          <w:szCs w:val="20"/>
          <w:lang w:val="en-US"/>
        </w:rPr>
      </w:pPr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On </w:t>
      </w:r>
      <w:smartTag w:uri="urn:schemas-microsoft-com:office:smarttags" w:element="date">
        <w:smartTagPr>
          <w:attr w:name="Month" w:val="7"/>
          <w:attr w:name="Day" w:val="1"/>
          <w:attr w:name="Year" w:val="2002"/>
        </w:smartTagPr>
        <w:r w:rsidRPr="009436FC">
          <w:rPr>
            <w:rFonts w:ascii="Calibri Light" w:eastAsia="Times New Roman" w:hAnsi="Calibri Light" w:cs="Times New Roman"/>
            <w:spacing w:val="-2"/>
            <w:szCs w:val="20"/>
            <w:lang w:val="en-US"/>
          </w:rPr>
          <w:t>July 1, 2002</w:t>
        </w:r>
      </w:smartTag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, Borden Ladner Gervais LLP merged with Armstrong Perkins Hudson of </w:t>
      </w:r>
      <w:smartTag w:uri="urn:schemas-microsoft-com:office:smarttags" w:element="place">
        <w:smartTag w:uri="urn:schemas-microsoft-com:office:smarttags" w:element="City">
          <w:r w:rsidRPr="009436FC">
            <w:rPr>
              <w:rFonts w:ascii="Calibri Light" w:eastAsia="Times New Roman" w:hAnsi="Calibri Light" w:cs="Times New Roman"/>
              <w:spacing w:val="-2"/>
              <w:szCs w:val="20"/>
              <w:lang w:val="en-US"/>
            </w:rPr>
            <w:t>Calgary</w:t>
          </w:r>
        </w:smartTag>
      </w:smartTag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and continues to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practise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under the same name.</w:t>
      </w:r>
    </w:p>
    <w:p w:rsidR="009436FC" w:rsidRPr="009436FC" w:rsidRDefault="009436FC" w:rsidP="009436FC">
      <w:pPr>
        <w:widowControl w:val="0"/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 w:line="240" w:lineRule="auto"/>
        <w:jc w:val="both"/>
        <w:rPr>
          <w:rFonts w:ascii="Calibri Light" w:eastAsia="Times New Roman" w:hAnsi="Calibri Light" w:cs="Times New Roman"/>
          <w:spacing w:val="-2"/>
          <w:szCs w:val="20"/>
          <w:lang w:val="en-US"/>
        </w:rPr>
      </w:pPr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On January 1, 2008,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Shortt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,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Hanbidge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, Richardson &amp; Welch merged with Borden Ladner Gervais LLP and continues to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practise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under the same name.</w:t>
      </w:r>
    </w:p>
    <w:p w:rsidR="009436FC" w:rsidRPr="009436FC" w:rsidRDefault="009436FC" w:rsidP="009436FC">
      <w:pPr>
        <w:widowControl w:val="0"/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 w:line="240" w:lineRule="auto"/>
        <w:jc w:val="both"/>
        <w:rPr>
          <w:rFonts w:ascii="Calibri Light" w:eastAsia="Times New Roman" w:hAnsi="Calibri Light" w:cs="Times New Roman"/>
          <w:spacing w:val="-2"/>
          <w:szCs w:val="20"/>
          <w:lang w:val="en-US"/>
        </w:rPr>
      </w:pPr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The Firm now has offices in Toronto, Ottawa, Vancouver, Calgary and Montreal.</w:t>
      </w:r>
    </w:p>
    <w:p w:rsidR="009436FC" w:rsidRPr="009436FC" w:rsidRDefault="009436FC" w:rsidP="009436FC">
      <w:pPr>
        <w:widowControl w:val="0"/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 w:line="240" w:lineRule="auto"/>
        <w:jc w:val="both"/>
        <w:rPr>
          <w:rFonts w:ascii="Calibri Light" w:eastAsia="Times New Roman" w:hAnsi="Calibri Light" w:cs="Times New Roman"/>
          <w:spacing w:val="-2"/>
          <w:szCs w:val="20"/>
          <w:lang w:val="en-US"/>
        </w:rPr>
      </w:pPr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Borden &amp; Elliot had established a national association with Russell &amp;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DuMoulin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of Vancouver, Howard Mackie and McMaster Gervais known as Borden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DuMoulin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Howard Gervais.  The association was terminated on </w:t>
      </w:r>
      <w:smartTag w:uri="urn:schemas-microsoft-com:office:smarttags" w:element="date">
        <w:smartTagPr>
          <w:attr w:name="Year" w:val="2000"/>
          <w:attr w:name="Day" w:val="1"/>
          <w:attr w:name="Month" w:val="3"/>
        </w:smartTagPr>
        <w:r w:rsidRPr="009436FC">
          <w:rPr>
            <w:rFonts w:ascii="Calibri Light" w:eastAsia="Times New Roman" w:hAnsi="Calibri Light" w:cs="Times New Roman"/>
            <w:spacing w:val="-2"/>
            <w:szCs w:val="20"/>
            <w:lang w:val="en-US"/>
          </w:rPr>
          <w:t>March 1, 2000</w:t>
        </w:r>
      </w:smartTag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.</w:t>
      </w:r>
    </w:p>
    <w:p w:rsidR="009436FC" w:rsidRPr="009436FC" w:rsidRDefault="009436FC" w:rsidP="009436FC">
      <w:pPr>
        <w:widowControl w:val="0"/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 w:line="240" w:lineRule="auto"/>
        <w:jc w:val="both"/>
        <w:rPr>
          <w:rFonts w:ascii="Calibri Light" w:eastAsia="Times New Roman" w:hAnsi="Calibri Light" w:cs="Times New Roman"/>
          <w:spacing w:val="-2"/>
          <w:szCs w:val="20"/>
          <w:lang w:val="en-US"/>
        </w:rPr>
      </w:pPr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There were two associated partnerships operating in </w:t>
      </w:r>
      <w:smartTag w:uri="urn:schemas-microsoft-com:office:smarttags" w:element="place">
        <w:smartTag w:uri="urn:schemas-microsoft-com:office:smarttags" w:element="City">
          <w:r w:rsidRPr="009436FC">
            <w:rPr>
              <w:rFonts w:ascii="Calibri Light" w:eastAsia="Times New Roman" w:hAnsi="Calibri Light" w:cs="Times New Roman"/>
              <w:spacing w:val="-2"/>
              <w:szCs w:val="20"/>
              <w:lang w:val="en-US"/>
            </w:rPr>
            <w:t>London</w:t>
          </w:r>
        </w:smartTag>
        <w:r w:rsidRPr="009436FC">
          <w:rPr>
            <w:rFonts w:ascii="Calibri Light" w:eastAsia="Times New Roman" w:hAnsi="Calibri Light" w:cs="Times New Roman"/>
            <w:spacing w:val="-2"/>
            <w:szCs w:val="20"/>
            <w:lang w:val="en-US"/>
          </w:rPr>
          <w:t xml:space="preserve">, </w:t>
        </w:r>
        <w:smartTag w:uri="urn:schemas-microsoft-com:office:smarttags" w:element="country-region">
          <w:r w:rsidRPr="009436FC">
            <w:rPr>
              <w:rFonts w:ascii="Calibri Light" w:eastAsia="Times New Roman" w:hAnsi="Calibri Light" w:cs="Times New Roman"/>
              <w:spacing w:val="-2"/>
              <w:szCs w:val="20"/>
              <w:lang w:val="en-US"/>
            </w:rPr>
            <w:t>England</w:t>
          </w:r>
        </w:smartTag>
      </w:smartTag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:</w:t>
      </w:r>
    </w:p>
    <w:p w:rsidR="009436FC" w:rsidRPr="009436FC" w:rsidRDefault="009436FC" w:rsidP="009436FC">
      <w:pPr>
        <w:widowControl w:val="0"/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20" w:line="240" w:lineRule="auto"/>
        <w:ind w:left="720" w:hanging="270"/>
        <w:jc w:val="both"/>
        <w:rPr>
          <w:rFonts w:ascii="Calibri Light" w:eastAsia="Times New Roman" w:hAnsi="Calibri Light" w:cs="Times New Roman"/>
          <w:spacing w:val="-2"/>
          <w:szCs w:val="20"/>
          <w:lang w:val="en-US"/>
        </w:rPr>
      </w:pPr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Borden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DuMoulin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Howard Gervais which was a partnership of the four Canadian firms and George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Cihra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, counsel to the Firm.  This partnership was dissolved but it is covered under the CLLAS policies for acts prior to March 2001.</w:t>
      </w:r>
    </w:p>
    <w:p w:rsidR="009436FC" w:rsidRPr="009436FC" w:rsidRDefault="009436FC" w:rsidP="009436FC">
      <w:pPr>
        <w:widowControl w:val="0"/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20" w:line="240" w:lineRule="auto"/>
        <w:ind w:left="720" w:hanging="270"/>
        <w:jc w:val="both"/>
        <w:rPr>
          <w:rFonts w:ascii="Calibri Light" w:eastAsia="Times New Roman" w:hAnsi="Calibri Light" w:cs="Times New Roman"/>
          <w:spacing w:val="-2"/>
          <w:szCs w:val="20"/>
          <w:lang w:val="en-US"/>
        </w:rPr>
      </w:pPr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Borden &amp; Elliot International which was a partnership involving Borden &amp; Elliot and George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Cihra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. Although this partnership was terminated in March 2001, it is covered under the CLLAS policies for acts prior to March 2001.</w:t>
      </w:r>
    </w:p>
    <w:p w:rsidR="009436FC" w:rsidRPr="009436FC" w:rsidRDefault="009436FC" w:rsidP="009436FC">
      <w:pPr>
        <w:widowControl w:val="0"/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 w:line="240" w:lineRule="auto"/>
        <w:jc w:val="both"/>
        <w:rPr>
          <w:rFonts w:ascii="Calibri Light" w:eastAsia="Times New Roman" w:hAnsi="Calibri Light" w:cs="Times New Roman"/>
          <w:spacing w:val="-2"/>
          <w:szCs w:val="20"/>
          <w:lang w:val="en-US"/>
        </w:rPr>
      </w:pPr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Ladner Downs had established an international partnership with Osler,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Hoskin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&amp; Harcourt of </w:t>
      </w:r>
      <w:smartTag w:uri="urn:schemas-microsoft-com:office:smarttags" w:element="City">
        <w:r w:rsidRPr="009436FC">
          <w:rPr>
            <w:rFonts w:ascii="Calibri Light" w:eastAsia="Times New Roman" w:hAnsi="Calibri Light" w:cs="Times New Roman"/>
            <w:spacing w:val="-2"/>
            <w:szCs w:val="20"/>
            <w:lang w:val="en-US"/>
          </w:rPr>
          <w:t>Toronto</w:t>
        </w:r>
      </w:smartTag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and Ogilvy Renault of </w:t>
      </w:r>
      <w:smartTag w:uri="urn:schemas-microsoft-com:office:smarttags" w:element="place">
        <w:smartTag w:uri="urn:schemas-microsoft-com:office:smarttags" w:element="City">
          <w:r w:rsidRPr="009436FC">
            <w:rPr>
              <w:rFonts w:ascii="Calibri Light" w:eastAsia="Times New Roman" w:hAnsi="Calibri Light" w:cs="Times New Roman"/>
              <w:spacing w:val="-2"/>
              <w:szCs w:val="20"/>
              <w:lang w:val="en-US"/>
            </w:rPr>
            <w:t>Montreal</w:t>
          </w:r>
        </w:smartTag>
      </w:smartTag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which was known as </w:t>
      </w:r>
      <w:r w:rsidRPr="009436FC">
        <w:rPr>
          <w:rFonts w:ascii="Calibri Light" w:eastAsia="Times New Roman" w:hAnsi="Calibri Light" w:cs="Times New Roman"/>
          <w:szCs w:val="20"/>
          <w:lang w:val="en-US"/>
        </w:rPr>
        <w:t xml:space="preserve">Osler Renault Ladner.  Ladner Downs withdrew from the partnership on </w:t>
      </w:r>
      <w:smartTag w:uri="urn:schemas-microsoft-com:office:smarttags" w:element="date">
        <w:smartTagPr>
          <w:attr w:name="Year" w:val="1993"/>
          <w:attr w:name="Day" w:val="31"/>
          <w:attr w:name="Month" w:val="12"/>
        </w:smartTagPr>
        <w:r w:rsidRPr="009436FC">
          <w:rPr>
            <w:rFonts w:ascii="Calibri Light" w:eastAsia="Times New Roman" w:hAnsi="Calibri Light" w:cs="Times New Roman"/>
            <w:szCs w:val="20"/>
            <w:lang w:val="en-US"/>
          </w:rPr>
          <w:t>December 31, 1993</w:t>
        </w:r>
      </w:smartTag>
      <w:r w:rsidRPr="009436FC">
        <w:rPr>
          <w:rFonts w:ascii="Calibri Light" w:eastAsia="Times New Roman" w:hAnsi="Calibri Light" w:cs="Times New Roman"/>
          <w:szCs w:val="20"/>
          <w:lang w:val="en-US"/>
        </w:rPr>
        <w:t>.</w:t>
      </w:r>
    </w:p>
    <w:p w:rsidR="009436FC" w:rsidRDefault="009436FC" w:rsidP="009436FC">
      <w:pPr>
        <w:widowControl w:val="0"/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 w:line="240" w:lineRule="auto"/>
        <w:jc w:val="both"/>
        <w:rPr>
          <w:rFonts w:ascii="Calibri Light" w:eastAsia="Times New Roman" w:hAnsi="Calibri Light" w:cs="Times New Roman"/>
          <w:spacing w:val="-2"/>
          <w:szCs w:val="20"/>
          <w:lang w:val="en-US"/>
        </w:rPr>
      </w:pPr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There is an endorsement on the policy in respect of Borden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DuMoulin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Howard Gervais, Borden Elliot Scott &amp;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Aylen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and Osler Renault Ladner to cover possible claims relating to the period during which the partnerships were in operation.</w:t>
      </w:r>
    </w:p>
    <w:p w:rsidR="00AA299B" w:rsidRDefault="009436FC" w:rsidP="009436FC">
      <w:pPr>
        <w:pStyle w:val="ListParagraph"/>
        <w:numPr>
          <w:ilvl w:val="0"/>
          <w:numId w:val="1"/>
        </w:numPr>
      </w:pPr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Coverage is also provided to the predecessor firms of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Shortt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,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Hanbidge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, Richardson &amp; Welch namely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Shortt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,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Hanbidge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, Snider, Richardson &amp; Welch and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Shortt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, </w:t>
      </w:r>
      <w:proofErr w:type="spellStart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>Hanbidge</w:t>
      </w:r>
      <w:proofErr w:type="spellEnd"/>
      <w:r w:rsidRPr="009436FC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 &amp; Snider.</w:t>
      </w:r>
      <w:bookmarkStart w:id="0" w:name="_GoBack"/>
      <w:bookmarkEnd w:id="0"/>
    </w:p>
    <w:sectPr w:rsidR="00AA29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4D864E98"/>
    <w:multiLevelType w:val="hybridMultilevel"/>
    <w:tmpl w:val="E18077D6"/>
    <w:lvl w:ilvl="0" w:tplc="FFFFFFFF">
      <w:start w:val="1"/>
      <w:numFmt w:val="bullet"/>
      <w:lvlText w:val=""/>
      <w:legacy w:legacy="1" w:legacySpace="0" w:legacyIndent="432"/>
      <w:lvlJc w:val="left"/>
      <w:pPr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2D53AC"/>
    <w:multiLevelType w:val="singleLevel"/>
    <w:tmpl w:val="5A82B5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FC"/>
    <w:rsid w:val="009436FC"/>
    <w:rsid w:val="0099143C"/>
    <w:rsid w:val="00AC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D5C78B-1B76-48A2-8F44-CCB72A00C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6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MeaganPhillips</cp:lastModifiedBy>
  <cp:revision>1</cp:revision>
  <dcterms:created xsi:type="dcterms:W3CDTF">2016-02-04T20:57:00Z</dcterms:created>
  <dcterms:modified xsi:type="dcterms:W3CDTF">2016-02-04T20:58:00Z</dcterms:modified>
</cp:coreProperties>
</file>